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07A378B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2BA8117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2C96F5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4B853CE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B2E19D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0E8626A5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517EC6F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1272B17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40BF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C52C8C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C531" w14:textId="3EF92485" w:rsidR="003A2DDE" w:rsidRPr="00E361A5" w:rsidRDefault="00C8177B" w:rsidP="008F7B26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от </w:t>
            </w:r>
            <w:r w:rsidR="0028444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21</w:t>
            </w:r>
            <w:r w:rsidR="00F402A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сентября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2022 г. № </w:t>
            </w:r>
            <w:r w:rsidR="00F402A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="00B85B5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="0028444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</w:t>
            </w:r>
          </w:p>
        </w:tc>
      </w:tr>
    </w:tbl>
    <w:p w14:paraId="5EED94A5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2D24052A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5EAC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D96E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2ED9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4642F" w:rsidRPr="002A0B1C" w14:paraId="2E8C3DBD" w14:textId="77777777" w:rsidTr="009C7E8A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D6ED" w14:textId="2EE795C8" w:rsidR="0004642F" w:rsidRPr="005527CE" w:rsidRDefault="000F3F5B" w:rsidP="009C7E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="00B85B5D">
              <w:rPr>
                <w:rFonts w:ascii="Times New Roman" w:hAnsi="Times New Roman"/>
                <w:b/>
              </w:rPr>
              <w:t xml:space="preserve"> </w:t>
            </w:r>
            <w:r w:rsidR="0004642F" w:rsidRPr="005527CE">
              <w:rPr>
                <w:rFonts w:ascii="Times New Roman" w:hAnsi="Times New Roman"/>
                <w:b/>
              </w:rPr>
              <w:t>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248F" w14:textId="6F0E1F9D" w:rsidR="0004642F" w:rsidRPr="001E6579" w:rsidRDefault="0004642F" w:rsidP="009C7E8A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</w:t>
            </w:r>
            <w:r w:rsidR="005A6666">
              <w:rPr>
                <w:rFonts w:ascii="Times New Roman" w:hAnsi="Times New Roman"/>
              </w:rPr>
              <w:t>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28FC" w14:textId="4DF01427" w:rsidR="0004642F" w:rsidRPr="005527CE" w:rsidRDefault="000F3F5B" w:rsidP="009C7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Административный о</w:t>
            </w:r>
            <w:r w:rsidR="0004642F" w:rsidRPr="005527CE">
              <w:rPr>
                <w:rFonts w:ascii="Times New Roman" w:hAnsi="Times New Roman"/>
              </w:rPr>
              <w:t xml:space="preserve">тдел </w:t>
            </w:r>
            <w:r w:rsidR="00F402A9">
              <w:rPr>
                <w:rFonts w:ascii="Times New Roman" w:hAnsi="Times New Roman"/>
              </w:rPr>
              <w:t xml:space="preserve"> </w:t>
            </w:r>
          </w:p>
        </w:tc>
      </w:tr>
    </w:tbl>
    <w:p w14:paraId="55294E9B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609A206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6D12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2A0B1C" w14:paraId="56AC3640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1473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proofErr w:type="gramStart"/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2A0B1C" w14:paraId="425F5389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111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0484097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 w14:paraId="554AF48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48BF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3239E5F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3987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344BDFC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5DD475A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AB2C03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7684E66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388EBB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, на </w:t>
                  </w: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замещение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16C8B38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2C9B7A1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14:paraId="63A875F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50C3416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6DAFF13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11C6AA8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0D897A3B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73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5"/>
                  </w:tblGrid>
                  <w:tr w:rsidR="00536BB2" w:rsidRPr="002A0B1C" w14:paraId="4925D7F7" w14:textId="77777777" w:rsidTr="001B0B07">
                    <w:trPr>
                      <w:jc w:val="center"/>
                    </w:trPr>
                    <w:tc>
                      <w:tcPr>
                        <w:tcW w:w="973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22D3D7" w14:textId="77777777"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 w14:paraId="2A6D8B7D" w14:textId="77777777" w:rsidTr="001B0B07">
                    <w:trPr>
                      <w:jc w:val="center"/>
                    </w:trPr>
                    <w:tc>
                      <w:tcPr>
                        <w:tcW w:w="973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BDAF81F" w14:textId="035010A5" w:rsidR="00536BB2" w:rsidRPr="00DD0664" w:rsidRDefault="00536BB2" w:rsidP="006C1C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B85B5D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0F3F5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7</w:t>
                        </w:r>
                        <w:r w:rsidR="00F402A9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сентября</w:t>
                        </w:r>
                        <w:r w:rsidR="00E361A5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</w:t>
                        </w:r>
                        <w:r w:rsidR="006C1CF7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. по </w:t>
                        </w:r>
                        <w:r w:rsidR="00284442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17 октября</w:t>
                        </w:r>
                        <w:r w:rsidR="00E361A5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</w:t>
                        </w:r>
                        <w:proofErr w:type="gramStart"/>
                        <w:r w:rsidR="00E361A5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.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970E64" w:rsidRPr="002A0B1C" w14:paraId="0832453D" w14:textId="77777777" w:rsidTr="001B0B07">
                    <w:trPr>
                      <w:jc w:val="center"/>
                    </w:trPr>
                    <w:tc>
                      <w:tcPr>
                        <w:tcW w:w="973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8D062A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 w14:paraId="3875BABB" w14:textId="77777777" w:rsidTr="001B0B07">
                    <w:trPr>
                      <w:jc w:val="center"/>
                    </w:trPr>
                    <w:tc>
                      <w:tcPr>
                        <w:tcW w:w="973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96EFAF" w14:textId="77777777"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 w14:paraId="0E3D91D9" w14:textId="77777777" w:rsidTr="001B0B07">
                    <w:trPr>
                      <w:jc w:val="center"/>
                    </w:trPr>
                    <w:tc>
                      <w:tcPr>
                        <w:tcW w:w="973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896D94" w14:textId="49AA7F19"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proofErr w:type="spellStart"/>
                        <w:r w:rsidR="00F402A9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Ковеня</w:t>
                        </w:r>
                        <w:proofErr w:type="spellEnd"/>
                        <w:r w:rsidR="00F402A9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Елена Александровна</w:t>
                        </w:r>
                      </w:p>
                    </w:tc>
                  </w:tr>
                  <w:tr w:rsidR="00970E64" w:rsidRPr="002A0B1C" w14:paraId="023F991E" w14:textId="77777777" w:rsidTr="001B0B07">
                    <w:trPr>
                      <w:jc w:val="center"/>
                    </w:trPr>
                    <w:tc>
                      <w:tcPr>
                        <w:tcW w:w="973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000EDB0" w14:textId="77777777" w:rsid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  <w:p w14:paraId="6436C4C9" w14:textId="77777777" w:rsidR="001B0B07" w:rsidRPr="001B0B07" w:rsidRDefault="001B0B07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1B0B07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 2 ноября 2022 г.,</w:t>
                        </w:r>
                      </w:p>
                      <w:p w14:paraId="70A63783" w14:textId="77777777" w:rsidR="001B0B07" w:rsidRDefault="001B0B07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проведения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второго этапа конкурса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: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г.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</w:p>
                      <w:p w14:paraId="6B10E575" w14:textId="6C5FE97F" w:rsidR="001B0B07" w:rsidRPr="00970E64" w:rsidRDefault="001B0B07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5 этаж учебный класс</w:t>
                        </w:r>
                      </w:p>
                    </w:tc>
                  </w:tr>
                  <w:tr w:rsidR="00970E64" w:rsidRPr="002A0B1C" w14:paraId="5B5D0E8D" w14:textId="77777777" w:rsidTr="001B0B07">
                    <w:trPr>
                      <w:jc w:val="center"/>
                    </w:trPr>
                    <w:tc>
                      <w:tcPr>
                        <w:tcW w:w="973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E1BEAE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63574140" w14:textId="77777777" w:rsidTr="001B0B07">
                    <w:trPr>
                      <w:trHeight w:val="2118"/>
                      <w:jc w:val="center"/>
                    </w:trPr>
                    <w:tc>
                      <w:tcPr>
                        <w:tcW w:w="973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0412F0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гражданской службы </w:t>
                        </w:r>
                        <w:bookmarkStart w:id="4" w:name="_GoBack"/>
                        <w:bookmarkEnd w:id="4"/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256F19B4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238B4FC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586C76BE" w14:textId="271F8DE8" w:rsidR="00DD0664" w:rsidRDefault="00DD0664" w:rsidP="004A1336"/>
    <w:p w14:paraId="0093B6E8" w14:textId="3DDC898B" w:rsidR="00CF255C" w:rsidRDefault="00CF255C" w:rsidP="004A1336"/>
    <w:p w14:paraId="50957A3B" w14:textId="117EFB7C" w:rsidR="00CF255C" w:rsidRDefault="00CF255C" w:rsidP="004A1336"/>
    <w:p w14:paraId="4F82738D" w14:textId="77777777" w:rsidR="00CF255C" w:rsidRDefault="00CF255C" w:rsidP="004A1336"/>
    <w:p w14:paraId="2A944F51" w14:textId="77777777" w:rsidR="005A6666" w:rsidRDefault="005A6666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F7B26" w:rsidRPr="006B0465" w14:paraId="30E6CAC7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14:paraId="28E7DA53" w14:textId="77777777" w:rsidR="008F7B26" w:rsidRPr="006B0465" w:rsidRDefault="00022CB0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8F7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8F7B26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14:paraId="61AF7193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22A502EC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2F6DEE8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38B6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8F7B26" w:rsidRPr="006B0465" w14:paraId="49662E9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F3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  <w:proofErr w:type="gramEnd"/>
          </w:p>
        </w:tc>
      </w:tr>
      <w:tr w:rsidR="008F7B26" w:rsidRPr="006B0465" w14:paraId="10E3494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D6E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8F7B26" w:rsidRPr="006B0465" w14:paraId="2A99D21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A99D" w14:textId="77777777" w:rsidR="008F7B26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83DEC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8F7B26" w:rsidRPr="006B0465" w14:paraId="2B7A045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679E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B7DE14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808A" w14:textId="77777777" w:rsidR="008F7B26" w:rsidRPr="006B0465" w:rsidRDefault="008F7B26" w:rsidP="008F7B26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</w:t>
            </w:r>
            <w:proofErr w:type="gramEnd"/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F7B26" w:rsidRPr="006B0465" w14:paraId="11854BC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6FDE" w14:textId="614ABE7C" w:rsidR="008F7B26" w:rsidRPr="006B0465" w:rsidRDefault="008F7B26" w:rsidP="00DE1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FF0" w:rsidRPr="006B0465" w14:paraId="3DF94101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DF52" w14:textId="77777777" w:rsidR="00DE1FF0" w:rsidRPr="006B0465" w:rsidRDefault="00DE1FF0" w:rsidP="001F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DE1FF0" w:rsidRPr="006B0465" w14:paraId="07E957CD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F92A4" w14:textId="77777777" w:rsidR="00DE1FF0" w:rsidRPr="006B0465" w:rsidRDefault="00DE1FF0" w:rsidP="001F5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0" w:rsidRPr="006B0465" w14:paraId="510FC106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0C1F" w14:textId="77777777" w:rsidR="00DE1FF0" w:rsidRPr="006B0465" w:rsidRDefault="00DE1FF0" w:rsidP="001F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DE1FF0" w:rsidRPr="006B0465" w14:paraId="34B15809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6CCF2" w14:textId="77777777" w:rsidR="00DE1FF0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99F0A3" w14:textId="7716354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DE1FF0" w:rsidRPr="006B0465" w14:paraId="7DA31E21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1B4D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0" w:rsidRPr="006B0465" w14:paraId="0CC0D884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CAED" w14:textId="77777777" w:rsidR="00DE1FF0" w:rsidRPr="006B0465" w:rsidRDefault="00DE1FF0" w:rsidP="001F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DE1FF0" w:rsidRPr="006B0465" w14:paraId="5529FC52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0184" w14:textId="77777777" w:rsidR="00DE1FF0" w:rsidRPr="006B0465" w:rsidRDefault="00DE1FF0" w:rsidP="001F56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0" w:rsidRPr="006B0465" w14:paraId="0E4AD2DF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A7B0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DE1FF0" w:rsidRPr="006B0465" w14:paraId="79453C40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76DF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DE1FF0" w:rsidRPr="006B0465" w14:paraId="61BC150C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4B06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DE1FF0" w:rsidRPr="006B0465" w14:paraId="6051F486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4E8C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DE1FF0" w:rsidRPr="006B0465" w14:paraId="098E2B79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EA434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DE1FF0" w:rsidRPr="006B0465" w14:paraId="1236F00E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667F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DE1FF0" w:rsidRPr="006B0465" w14:paraId="23158BB0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3FB5C" w14:textId="77777777" w:rsidR="00DE1FF0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0DEEF40F" w14:textId="61F125F8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DE1FF0" w:rsidRPr="006B0465" w14:paraId="70C5FA5B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A72C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DE1FF0" w:rsidRPr="006B0465" w14:paraId="1E8FAFFD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57D0" w14:textId="7B4A94ED" w:rsidR="00DE1FF0" w:rsidRPr="006B0465" w:rsidRDefault="00DE1FF0" w:rsidP="00DE1F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FF0" w:rsidRPr="006B0465" w14:paraId="271771E0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4645" w14:textId="77777777" w:rsidR="00DE1FF0" w:rsidRPr="006B0465" w:rsidRDefault="00DE1FF0" w:rsidP="001F56A0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DE1FF0" w:rsidRPr="006B0465" w14:paraId="2B7B00BE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869AD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FF0" w:rsidRPr="006B0465" w14:paraId="0CF2C557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4C45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DE1FF0" w:rsidRPr="006B0465" w14:paraId="290EF013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5F04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DE1FF0" w:rsidRPr="006B0465" w14:paraId="1689F7D7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D7A7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DE1FF0" w:rsidRPr="006B0465" w14:paraId="7B5DBB4C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A23C" w14:textId="77777777" w:rsidR="00DE1FF0" w:rsidRPr="006B0465" w:rsidRDefault="00DE1FF0" w:rsidP="001F56A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0" w:rsidRPr="006B0465" w14:paraId="27A2B8D4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5B34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DE1FF0" w:rsidRPr="006B0465" w14:paraId="1D7DDA44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55D0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DE1FF0" w:rsidRPr="006B0465" w14:paraId="12127C76" w14:textId="77777777" w:rsidTr="001F56A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240B" w14:textId="15288F8E" w:rsidR="00DE1FF0" w:rsidRPr="00594B5F" w:rsidRDefault="00DE1FF0" w:rsidP="00594B5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умение оперативно принимать и реализовывать управленческие решения.</w:t>
            </w:r>
          </w:p>
        </w:tc>
      </w:tr>
      <w:tr w:rsidR="008F7B26" w:rsidRPr="006B0465" w14:paraId="0D4CE20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BB22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ABA7E0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223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8F7B26" w:rsidRPr="006B0465" w14:paraId="44C360E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E1E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8F7B26" w:rsidRPr="006B0465" w14:paraId="11FFDA4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95C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CD31EE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262C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8F7B26" w:rsidRPr="006B0465" w14:paraId="207DDA8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C19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B26" w:rsidRPr="006B0465" w14:paraId="0587FBF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C9B6" w14:textId="77777777" w:rsidR="008F7B26" w:rsidRPr="006B0465" w:rsidRDefault="008F7B26" w:rsidP="008F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B5D" w:rsidRPr="00770B61" w14:paraId="6C59300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D57C" w14:textId="69DACD4F" w:rsidR="0078568F" w:rsidRP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>2.2.1. Ведущий специалист-эксперт отдела должен иметь высшее образование по направлению подготовки (специальности) «Юриспруденция», «Правоведение»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 xml:space="preserve">подготовки (специальностям), содержащееся в предыдущих перечнях профессий, специальностей и направлений подготовки.  </w:t>
            </w:r>
          </w:p>
          <w:p w14:paraId="5CEDC530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>Гражданский служащий, замещающий должность ведущего специалиста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 xml:space="preserve">эксперта отдела, должен обладать следующими профессиональными знаниями в сфере законодательства Российской Федерации: </w:t>
            </w:r>
          </w:p>
          <w:p w14:paraId="66C065DC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1) Федеральный закон от 27 июля 2004 г. № 79-ФЗ «О государственной </w:t>
            </w:r>
            <w:r w:rsidRPr="007856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гражданской службе Российской Федерации»; </w:t>
            </w:r>
          </w:p>
          <w:p w14:paraId="2EA8CAA8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 марта 2007 г. № 25-ФЗ «О муниципальной службе в Российской Федерации» в части взаимосвязи муниципальной службы и государственной гражданской службы; </w:t>
            </w:r>
          </w:p>
          <w:p w14:paraId="11885053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3) Федеральный закон от 2 мая 2006 г. № 59-ФЗ «О порядке рассмотрения обращений граждан Российской Федерации»; </w:t>
            </w:r>
          </w:p>
          <w:p w14:paraId="49554DB5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>4) Указ Президента Российской Федерации от 11 января 1995 г. № 32                   «О государственных должностях Российской Федерации»;</w:t>
            </w:r>
          </w:p>
          <w:p w14:paraId="75596C3D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5) Указ Президента Российской Федерации от 9 марта 2004 г. № 314 «О системе и структуре федеральных органов исполнительной власти»; </w:t>
            </w:r>
          </w:p>
          <w:p w14:paraId="75A975F6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6) Указ Президента Российской Федерации от 1 февраля 2005 г. № 110                     «О проведении аттестации государственных гражданских служащих Российской Федерации»; </w:t>
            </w:r>
          </w:p>
          <w:p w14:paraId="2C4DC659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>7) Указ Президента Российской Федерации от 1 февраля 2005 г. № 112                        «О конкурсе на замещение вакантной должности государственной гражданской службы Российской Федерации»;</w:t>
            </w:r>
          </w:p>
          <w:p w14:paraId="457C7514" w14:textId="352D2F7B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8) Указ Президента Российской Федерации от 27 сентября 2005 г. </w:t>
            </w:r>
            <w:r w:rsidR="0028444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>№ 113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      </w:r>
          </w:p>
          <w:p w14:paraId="6E8CB1F2" w14:textId="2AADA9AC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9) Указ Президента Российской Федерации от 31 декабря 2005 г.</w:t>
            </w:r>
            <w:r w:rsidR="0028444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№ 1574 «О Реестре должностей федеральной государственной гражданской службы»; </w:t>
            </w:r>
          </w:p>
          <w:p w14:paraId="506BCBF1" w14:textId="527BB2F1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10) Указ Президента Российской Федерации от 25 июля 2006 г. № 763 «О денежном содержании федеральных государственных гражданских служащих»; </w:t>
            </w:r>
          </w:p>
          <w:p w14:paraId="05CB824E" w14:textId="79EF441B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>11) Указ Президента Российской Федерации от 7 мая 2012 № 601</w:t>
            </w:r>
            <w:r w:rsidR="0028444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«Об основных направлениях совершенствования системы государственного управления»;</w:t>
            </w:r>
          </w:p>
          <w:p w14:paraId="5BB3A3C7" w14:textId="066B243E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12) Постановление Правительства Российской Федерации</w:t>
            </w:r>
            <w:r w:rsidR="0028444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от 13 августа 1997 г. № 1009 «Об утверждении </w:t>
            </w:r>
            <w:proofErr w:type="gramStart"/>
            <w:r w:rsidRPr="0078568F">
              <w:rPr>
                <w:rFonts w:ascii="Times New Roman" w:hAnsi="Times New Roman"/>
                <w:sz w:val="28"/>
                <w:szCs w:val="28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78568F">
              <w:rPr>
                <w:rFonts w:ascii="Times New Roman" w:hAnsi="Times New Roman"/>
                <w:sz w:val="28"/>
                <w:szCs w:val="28"/>
              </w:rPr>
              <w:t xml:space="preserve"> и их государственной регистрации»; </w:t>
            </w:r>
          </w:p>
          <w:p w14:paraId="4C5AFB2A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власти»; </w:t>
            </w:r>
          </w:p>
          <w:p w14:paraId="12693DD0" w14:textId="0503EF9C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14) Трудовой кодекс Российской Федерации от 30 декабря 2001 г. </w:t>
            </w:r>
            <w:r w:rsidR="0028444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>№ 197-ФЗ и другие</w:t>
            </w:r>
          </w:p>
          <w:p w14:paraId="26B6B9D3" w14:textId="285888D3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2.2.3. Иные профессиональные знания ведущего специалиста-эксперта </w:t>
            </w:r>
            <w:r w:rsidR="00284442" w:rsidRPr="0078568F">
              <w:rPr>
                <w:rFonts w:ascii="Times New Roman" w:hAnsi="Times New Roman"/>
                <w:sz w:val="28"/>
                <w:szCs w:val="28"/>
              </w:rPr>
              <w:t>отдела должны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включать:  </w:t>
            </w:r>
          </w:p>
          <w:p w14:paraId="63CAF2FC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1) понятие и признаки государства; </w:t>
            </w:r>
          </w:p>
          <w:p w14:paraId="3CCEB2A3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2) понятие, цели, элементы государственного управления; </w:t>
            </w:r>
          </w:p>
          <w:p w14:paraId="25CBF847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3) типы организационных структур;</w:t>
            </w:r>
          </w:p>
          <w:p w14:paraId="3720A010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4) цели, задачи и формы кадровой стратегии и кадровой политики </w:t>
            </w:r>
            <w:r w:rsidRPr="007856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организации; </w:t>
            </w:r>
          </w:p>
          <w:p w14:paraId="71C75B56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>5) методы управления персоналом;</w:t>
            </w:r>
          </w:p>
          <w:p w14:paraId="33E151AE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6) основные модели и концепции государственной службы;</w:t>
            </w:r>
          </w:p>
          <w:p w14:paraId="40C930E8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7) методы формирования государственно-служебной культуры;</w:t>
            </w:r>
          </w:p>
          <w:p w14:paraId="4346EC49" w14:textId="77777777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8) направления и формы профессионального развития гражданских служащих. </w:t>
            </w:r>
          </w:p>
          <w:p w14:paraId="16FACEEA" w14:textId="19E03C3B" w:rsidR="0078568F" w:rsidRP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>2.2.4. Гражданский служащий, замещающий должность ведущего специалиста</w:t>
            </w:r>
            <w:r w:rsidR="00284442">
              <w:rPr>
                <w:rFonts w:ascii="Times New Roman" w:hAnsi="Times New Roman"/>
                <w:sz w:val="28"/>
                <w:szCs w:val="28"/>
              </w:rPr>
              <w:t>-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 xml:space="preserve">эксперта, должен обладать следующими профессиональными умениями:  </w:t>
            </w:r>
          </w:p>
          <w:p w14:paraId="32905011" w14:textId="26379718" w:rsidR="0078568F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1) умение работать с нормативными правовыми актами, применять </w:t>
            </w:r>
            <w:r w:rsidR="0028444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 xml:space="preserve">их положения в практической деятельности; </w:t>
            </w:r>
          </w:p>
          <w:p w14:paraId="4866B859" w14:textId="2E0743FF" w:rsidR="00E36800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2) опыт реформирования государственной гражданской службы </w:t>
            </w:r>
            <w:r w:rsidR="0028444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 xml:space="preserve">в Российской Федерации; </w:t>
            </w:r>
          </w:p>
          <w:p w14:paraId="4D88ADE8" w14:textId="5CA0FBD9" w:rsidR="00E36800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3) основные модели и концепции государственной службы, включающие понятие и элементы модели компетенций; </w:t>
            </w:r>
          </w:p>
          <w:p w14:paraId="671FDA56" w14:textId="77777777" w:rsidR="00E36800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4) оперативно принимать и осуществлять принятые решения; </w:t>
            </w:r>
          </w:p>
          <w:p w14:paraId="6D006A06" w14:textId="132EBE2F" w:rsidR="00E36800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5) эффективно и последовательно организовывать взаимодействие </w:t>
            </w:r>
            <w:r w:rsidR="0028444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>с другими подразделениями;</w:t>
            </w:r>
          </w:p>
          <w:p w14:paraId="769403EF" w14:textId="05552893" w:rsidR="00E36800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6) проведение кадрового анализа и планирование деятельности </w:t>
            </w:r>
            <w:r w:rsidR="0028444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 xml:space="preserve">с учетом организационных целей, бюджетных ограничений и потребностей в кадрах; </w:t>
            </w:r>
          </w:p>
          <w:p w14:paraId="54A26FE1" w14:textId="77777777" w:rsidR="00E36800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7) определение оптимальной кадровой стратегии и кадровой политики организации; </w:t>
            </w:r>
          </w:p>
          <w:p w14:paraId="141B7E6F" w14:textId="5C8E7806" w:rsidR="00E36800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8) иметь навыки владения компьютерной и другой оргтехникой </w:t>
            </w:r>
            <w:r w:rsidR="0028444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 xml:space="preserve">и необходимым программным обеспечением. </w:t>
            </w:r>
          </w:p>
          <w:p w14:paraId="235E5B2D" w14:textId="47C58434" w:rsidR="00E36800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2.2.5. Гражданский служащий, замещающий должность </w:t>
            </w:r>
            <w:r w:rsidR="00284442" w:rsidRPr="0078568F">
              <w:rPr>
                <w:rFonts w:ascii="Times New Roman" w:hAnsi="Times New Roman"/>
                <w:sz w:val="28"/>
                <w:szCs w:val="28"/>
              </w:rPr>
              <w:t>ведущего специалиста</w:t>
            </w:r>
            <w:r w:rsidR="00284442">
              <w:rPr>
                <w:rFonts w:ascii="Times New Roman" w:hAnsi="Times New Roman"/>
                <w:sz w:val="28"/>
                <w:szCs w:val="28"/>
              </w:rPr>
              <w:t>-</w:t>
            </w:r>
            <w:r w:rsidR="00284442" w:rsidRPr="0078568F">
              <w:rPr>
                <w:rFonts w:ascii="Times New Roman" w:hAnsi="Times New Roman"/>
                <w:sz w:val="28"/>
                <w:szCs w:val="28"/>
              </w:rPr>
              <w:t>эксперта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>, должен обладать следующими функциональными знаниями:</w:t>
            </w:r>
          </w:p>
          <w:p w14:paraId="67BF9120" w14:textId="3B2F5F0D" w:rsidR="00E36800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1) функциями кадровой службы организации; </w:t>
            </w:r>
          </w:p>
          <w:p w14:paraId="2CB071FE" w14:textId="34A31DC5" w:rsidR="00E36800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2) принципами формирования и оценки эффективности кадровых служб в организации; </w:t>
            </w:r>
          </w:p>
          <w:p w14:paraId="2FB89975" w14:textId="77777777" w:rsidR="00E36800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>1) понятие, процедура рассмотрения обращений граждан.</w:t>
            </w:r>
          </w:p>
          <w:p w14:paraId="5C0E253F" w14:textId="61C2DC45" w:rsidR="00E36800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2.2.6. Гражданский служащий, замещающий должность ведущего специалиста</w:t>
            </w:r>
            <w:r w:rsidR="00284442">
              <w:rPr>
                <w:rFonts w:ascii="Times New Roman" w:hAnsi="Times New Roman"/>
                <w:sz w:val="28"/>
                <w:szCs w:val="28"/>
              </w:rPr>
              <w:t>-</w:t>
            </w:r>
            <w:r w:rsidRPr="0078568F">
              <w:rPr>
                <w:rFonts w:ascii="Times New Roman" w:hAnsi="Times New Roman"/>
                <w:sz w:val="28"/>
                <w:szCs w:val="28"/>
              </w:rPr>
              <w:t xml:space="preserve">эксперта, должен обладать следующими функциональными умениями:  </w:t>
            </w:r>
          </w:p>
          <w:p w14:paraId="18CB70A7" w14:textId="77777777" w:rsidR="00E36800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1) организация и нормирование труда гражданского служащего; </w:t>
            </w:r>
          </w:p>
          <w:p w14:paraId="4D6E80DA" w14:textId="77777777" w:rsidR="00E36800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>2) прием и согласование документации, заявок, заявлений;</w:t>
            </w:r>
          </w:p>
          <w:p w14:paraId="4CDA436B" w14:textId="4FAD7BAD" w:rsidR="00B85B5D" w:rsidRPr="00770B61" w:rsidRDefault="0078568F" w:rsidP="007856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68F">
              <w:rPr>
                <w:rFonts w:ascii="Times New Roman" w:hAnsi="Times New Roman"/>
                <w:sz w:val="28"/>
                <w:szCs w:val="28"/>
              </w:rPr>
              <w:t xml:space="preserve"> 3) консультационная помощь гражданским служащим и работникам </w:t>
            </w:r>
            <w:proofErr w:type="spellStart"/>
            <w:r w:rsidRPr="0078568F">
              <w:rPr>
                <w:rFonts w:ascii="Times New Roman" w:hAnsi="Times New Roman"/>
                <w:sz w:val="28"/>
                <w:szCs w:val="28"/>
              </w:rPr>
              <w:t>Краснодарстата</w:t>
            </w:r>
            <w:proofErr w:type="spellEnd"/>
            <w:r w:rsidRPr="0078568F">
              <w:rPr>
                <w:rFonts w:ascii="Times New Roman" w:hAnsi="Times New Roman"/>
                <w:sz w:val="28"/>
                <w:szCs w:val="28"/>
              </w:rPr>
              <w:t xml:space="preserve"> по вопросам государственной гражданской службы и трудового законодательства.</w:t>
            </w:r>
          </w:p>
        </w:tc>
      </w:tr>
      <w:tr w:rsidR="008F7B26" w:rsidRPr="006B0465" w14:paraId="343A0DD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8116" w14:textId="3F73B1A7" w:rsidR="008F7B26" w:rsidRPr="006B0465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</w:t>
            </w:r>
            <w:proofErr w:type="gramEnd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3445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14:paraId="1E4F949C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E04DFA3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14:paraId="4C046E8B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6111ADED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E4A385B" w14:textId="77777777" w:rsidR="00E4684B" w:rsidRDefault="00E4684B" w:rsidP="004A1336"/>
    <w:p w14:paraId="00610468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24F2BB50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74943FC9" w14:textId="77777777" w:rsidTr="00770B61">
        <w:tc>
          <w:tcPr>
            <w:tcW w:w="2943" w:type="dxa"/>
          </w:tcPr>
          <w:p w14:paraId="0F08A204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593C2CEC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372C532E" w14:textId="77777777" w:rsidTr="00770B61">
        <w:trPr>
          <w:trHeight w:val="2533"/>
        </w:trPr>
        <w:tc>
          <w:tcPr>
            <w:tcW w:w="2943" w:type="dxa"/>
          </w:tcPr>
          <w:p w14:paraId="7A66EB26" w14:textId="77777777" w:rsidR="00984417" w:rsidRDefault="00984417" w:rsidP="0098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200677" w14:textId="63931BAD" w:rsidR="00770B61" w:rsidRPr="002A0B1C" w:rsidRDefault="00865263" w:rsidP="0098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984417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 w:rsidR="005F5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6666">
              <w:rPr>
                <w:rFonts w:ascii="Times New Roman" w:hAnsi="Times New Roman"/>
                <w:sz w:val="20"/>
                <w:szCs w:val="20"/>
              </w:rPr>
              <w:t>–</w:t>
            </w:r>
            <w:r w:rsidR="005F5C7F">
              <w:rPr>
                <w:rFonts w:ascii="Times New Roman" w:hAnsi="Times New Roman"/>
                <w:sz w:val="20"/>
                <w:szCs w:val="20"/>
              </w:rPr>
              <w:t xml:space="preserve"> эксперт</w:t>
            </w:r>
            <w:r w:rsidR="005A6666" w:rsidRPr="005A6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административного </w:t>
            </w:r>
            <w:r w:rsidR="005A6666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</w:p>
        </w:tc>
        <w:tc>
          <w:tcPr>
            <w:tcW w:w="11881" w:type="dxa"/>
            <w:shd w:val="clear" w:color="auto" w:fill="FFFFFF"/>
          </w:tcPr>
          <w:p w14:paraId="262C8CE5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Основные права и обязанности ведущего специалиста-эксперта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 гражданской службе. </w:t>
            </w:r>
          </w:p>
          <w:p w14:paraId="0E837874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3.2. </w:t>
            </w:r>
            <w:proofErr w:type="gramStart"/>
            <w:r w:rsidRPr="0058271A">
              <w:rPr>
                <w:rFonts w:ascii="Times New Roman" w:hAnsi="Times New Roman"/>
              </w:rPr>
              <w:t xml:space="preserve">Обязанности ведущего специалиста-эксперта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статьями 9, 11 и 12 Федерального закона от 25 декабря 2008 г. № 273-ФЗ «О противодействии коррупции». </w:t>
            </w:r>
            <w:proofErr w:type="gramEnd"/>
          </w:p>
          <w:p w14:paraId="68A27C56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3.3. В соответствии с положением об Отделе, поручениями руководителя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 xml:space="preserve">, начальника отдела и планом работы Отдела, ведущий специалист-эксперт отдела: </w:t>
            </w:r>
          </w:p>
          <w:p w14:paraId="69A7B8FE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3.3.1.  несёт персональную ответственность за выполнение возложенных на Отдел функций и полномочий, а также за состояние исполнительской дисциплины. 3.4. Обязанности ведущего специалиста-эксперта: </w:t>
            </w:r>
          </w:p>
          <w:p w14:paraId="1EA2185E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3.4.1. В соответствии с положением об Отделе, поручениями руководителя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 xml:space="preserve">, начальника отдела и планом работы Отдела, ведущий специалист-эксперт отдела: </w:t>
            </w:r>
          </w:p>
          <w:p w14:paraId="277B6828" w14:textId="6270DB83" w:rsidR="0058271A" w:rsidRPr="0058271A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3.4.1.1.  несёт персональную ответственность за выполнение возложенных на Отдел функций и полномочий, а также за состояние исполнительской дисциплины; </w:t>
            </w:r>
          </w:p>
          <w:p w14:paraId="7A6D8F22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3.4.1.2. взаимодействует с иными отделами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 xml:space="preserve">; </w:t>
            </w:r>
          </w:p>
          <w:p w14:paraId="525909B7" w14:textId="6E17B282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>3.4.1.</w:t>
            </w:r>
            <w:r w:rsidR="00865263" w:rsidRPr="0058271A">
              <w:rPr>
                <w:rFonts w:ascii="Times New Roman" w:hAnsi="Times New Roman"/>
              </w:rPr>
              <w:t>3. участвует</w:t>
            </w:r>
            <w:r w:rsidRPr="0058271A">
              <w:rPr>
                <w:rFonts w:ascii="Times New Roman" w:hAnsi="Times New Roman"/>
              </w:rPr>
              <w:t xml:space="preserve"> в подготовке в установленном порядке проектов актов и других документов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 xml:space="preserve">, относящихся к сфере деятельности Отдела; </w:t>
            </w:r>
          </w:p>
          <w:p w14:paraId="107D1A01" w14:textId="1378F0B1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>3.4.1.</w:t>
            </w:r>
            <w:r w:rsidR="00865263" w:rsidRPr="0058271A">
              <w:rPr>
                <w:rFonts w:ascii="Times New Roman" w:hAnsi="Times New Roman"/>
              </w:rPr>
              <w:t>4. обеспечивает</w:t>
            </w:r>
            <w:r w:rsidRPr="0058271A">
              <w:rPr>
                <w:rFonts w:ascii="Times New Roman" w:hAnsi="Times New Roman"/>
              </w:rPr>
              <w:t xml:space="preserve"> рассмотрение поступивших в Отдел обращений, проектов актов и других документов, а также подготовку заключений на них;</w:t>
            </w:r>
          </w:p>
          <w:p w14:paraId="01BB668B" w14:textId="2C851385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>3.4.1.</w:t>
            </w:r>
            <w:r w:rsidR="00865263" w:rsidRPr="0058271A">
              <w:rPr>
                <w:rFonts w:ascii="Times New Roman" w:hAnsi="Times New Roman"/>
              </w:rPr>
              <w:t>5. участвует</w:t>
            </w:r>
            <w:r w:rsidRPr="0058271A">
              <w:rPr>
                <w:rFonts w:ascii="Times New Roman" w:hAnsi="Times New Roman"/>
              </w:rPr>
              <w:t xml:space="preserve">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 xml:space="preserve"> и подготовке проектов ответов на них; 3.4.1.</w:t>
            </w:r>
            <w:r w:rsidR="00865263" w:rsidRPr="0058271A">
              <w:rPr>
                <w:rFonts w:ascii="Times New Roman" w:hAnsi="Times New Roman"/>
              </w:rPr>
              <w:t>6. взаимодействует</w:t>
            </w:r>
            <w:r w:rsidRPr="0058271A">
              <w:rPr>
                <w:rFonts w:ascii="Times New Roman" w:hAnsi="Times New Roman"/>
              </w:rPr>
              <w:t xml:space="preserve"> с территориальными органами Росстата, подведомственными организациями Росстата, структурными подразделениями центрального аппарата Росстата, отделами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 xml:space="preserve"> по вопросам, входящим                               в компетенцию Отдела; </w:t>
            </w:r>
          </w:p>
          <w:p w14:paraId="5A48BC47" w14:textId="1E280E5A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3.4.2. обеспечивает деятельность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 xml:space="preserve">, его структурных подразделений в соответствии со сферой деятельности, </w:t>
            </w:r>
            <w:r w:rsidRPr="0058271A">
              <w:rPr>
                <w:rFonts w:ascii="Times New Roman" w:hAnsi="Times New Roman"/>
              </w:rPr>
              <w:lastRenderedPageBreak/>
              <w:t>функциями и задачами, определяемыми Положением об отделе.</w:t>
            </w:r>
          </w:p>
          <w:p w14:paraId="654F9479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 3.5. </w:t>
            </w:r>
            <w:proofErr w:type="gramStart"/>
            <w:r w:rsidRPr="0058271A">
              <w:rPr>
                <w:rFonts w:ascii="Times New Roman" w:hAnsi="Times New Roman"/>
              </w:rPr>
              <w:t xml:space="preserve">На ведущего специалиста-эксперта возложены следующие функции в части обеспечения реализации положений Федерального закона от 27 июля 2004 года № 79-ФЗ «О государственной гражданской службе Российской Федерации», других федеральных законов и иных нормативных правовых актов, касающихся развития гражданской службы, работы с кадрами в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Краснодарстате</w:t>
            </w:r>
            <w:proofErr w:type="spellEnd"/>
            <w:r w:rsidRPr="0058271A">
              <w:rPr>
                <w:rFonts w:ascii="Times New Roman" w:hAnsi="Times New Roman"/>
              </w:rPr>
              <w:t>:  осуществляет ведение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</w:t>
            </w:r>
            <w:proofErr w:type="gramEnd"/>
            <w:r w:rsidRPr="0058271A">
              <w:rPr>
                <w:rFonts w:ascii="Times New Roman" w:hAnsi="Times New Roman"/>
              </w:rPr>
              <w:t xml:space="preserve"> </w:t>
            </w:r>
            <w:proofErr w:type="gramStart"/>
            <w:r w:rsidRPr="0058271A">
              <w:rPr>
                <w:rFonts w:ascii="Times New Roman" w:hAnsi="Times New Roman"/>
              </w:rPr>
              <w:t>пределах</w:t>
            </w:r>
            <w:proofErr w:type="gramEnd"/>
            <w:r w:rsidRPr="0058271A">
              <w:rPr>
                <w:rFonts w:ascii="Times New Roman" w:hAnsi="Times New Roman"/>
              </w:rPr>
              <w:t xml:space="preserve"> компетенции отдела;</w:t>
            </w:r>
          </w:p>
          <w:p w14:paraId="47061FED" w14:textId="5D47E10C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 -  является секретарем Конкурсной </w:t>
            </w:r>
            <w:r w:rsidR="00865263" w:rsidRPr="0058271A">
              <w:rPr>
                <w:rFonts w:ascii="Times New Roman" w:hAnsi="Times New Roman"/>
              </w:rPr>
              <w:t>комиссии для</w:t>
            </w:r>
            <w:r w:rsidRPr="0058271A">
              <w:rPr>
                <w:rFonts w:ascii="Times New Roman" w:hAnsi="Times New Roman"/>
              </w:rPr>
              <w:t xml:space="preserve"> организации и проведения конкурса на замещение вакантных должностей федеральной государственной гражданской службы в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Краснодарстате</w:t>
            </w:r>
            <w:proofErr w:type="spellEnd"/>
            <w:r w:rsidRPr="0058271A">
              <w:rPr>
                <w:rFonts w:ascii="Times New Roman" w:hAnsi="Times New Roman"/>
              </w:rPr>
              <w:t xml:space="preserve">, а также на включение в кадровый </w:t>
            </w:r>
            <w:r w:rsidR="00865263" w:rsidRPr="0058271A">
              <w:rPr>
                <w:rFonts w:ascii="Times New Roman" w:hAnsi="Times New Roman"/>
              </w:rPr>
              <w:t>резерв для</w:t>
            </w:r>
            <w:r w:rsidRPr="0058271A">
              <w:rPr>
                <w:rFonts w:ascii="Times New Roman" w:hAnsi="Times New Roman"/>
              </w:rPr>
              <w:t xml:space="preserve"> замещения вакантных должностей федеральной   государственной   гражданской   службы   в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Краснодарстате</w:t>
            </w:r>
            <w:proofErr w:type="spellEnd"/>
            <w:r w:rsidRPr="0058271A">
              <w:rPr>
                <w:rFonts w:ascii="Times New Roman" w:hAnsi="Times New Roman"/>
              </w:rPr>
              <w:t xml:space="preserve">;  </w:t>
            </w:r>
          </w:p>
          <w:p w14:paraId="14F3F556" w14:textId="29E505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>- осуществляет ежемесячную и еженедельную подготовку и отправку отчета «О наличии вакантных рабочих мест (должностей) в ГКУ КК «Центр занятости населения города Краснодара» и в общероссийской базе вакансий «Работа России»;</w:t>
            </w:r>
          </w:p>
          <w:p w14:paraId="18CE2EE8" w14:textId="3766E759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8271A">
              <w:rPr>
                <w:rFonts w:ascii="Times New Roman" w:hAnsi="Times New Roman"/>
              </w:rPr>
              <w:t xml:space="preserve">- в целях совершенствования делопроизводства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>, повышения его эффективности осуществляет визирование (согласование) проектов приказов по личному составу (индексы:</w:t>
            </w:r>
            <w:proofErr w:type="gramEnd"/>
            <w:r w:rsidRPr="0058271A">
              <w:rPr>
                <w:rFonts w:ascii="Times New Roman" w:hAnsi="Times New Roman"/>
              </w:rPr>
              <w:t xml:space="preserve"> К; </w:t>
            </w:r>
            <w:proofErr w:type="gramStart"/>
            <w:r w:rsidRPr="0058271A">
              <w:rPr>
                <w:rFonts w:ascii="Times New Roman" w:hAnsi="Times New Roman"/>
              </w:rPr>
              <w:t>П</w:t>
            </w:r>
            <w:proofErr w:type="gramEnd"/>
            <w:r w:rsidRPr="0058271A">
              <w:rPr>
                <w:rFonts w:ascii="Times New Roman" w:hAnsi="Times New Roman"/>
              </w:rPr>
              <w:t xml:space="preserve">; Н; ВР; О; ЛС; Р), по основной деятельности, ПРХ и других после осуществления экспертизы на предмет правильности их оформления, в соответствии с инструкцией по делопроизводству в Федеральной службе государственной статистики и  соответствия действующему законодательству; </w:t>
            </w:r>
          </w:p>
          <w:p w14:paraId="0F5C89F0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- готовит по мере необходимости проект «Отраслевого соглашения между Краснодарской краевой региональной организацией профессионального союза работников государственных учреждений и общественного обслуживания Российской Федерации и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 xml:space="preserve">»; </w:t>
            </w:r>
          </w:p>
          <w:p w14:paraId="4F71C0AF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- ежегодно участвует в составлении проекта отчета (информации) об итогах выполнения «Отраслевого соглашения между Краснодарской краевой региональной организацией профессионального союза работников государственных учреждений и общественного обслуживания Российской Федерации и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Краснодарстатом</w:t>
            </w:r>
            <w:proofErr w:type="spellEnd"/>
            <w:r w:rsidRPr="0058271A">
              <w:rPr>
                <w:rFonts w:ascii="Times New Roman" w:hAnsi="Times New Roman"/>
              </w:rPr>
              <w:t xml:space="preserve">»; </w:t>
            </w:r>
          </w:p>
          <w:p w14:paraId="61CE488E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- готовит по мере необходимости проект коллективного договора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 xml:space="preserve"> </w:t>
            </w:r>
            <w:proofErr w:type="gramStart"/>
            <w:r w:rsidRPr="0058271A">
              <w:rPr>
                <w:rFonts w:ascii="Times New Roman" w:hAnsi="Times New Roman"/>
              </w:rPr>
              <w:t>с внесением в него изменений по мере необходимости с обязательной регистрацией указанных документов в государственном казенном учреждении</w:t>
            </w:r>
            <w:proofErr w:type="gramEnd"/>
            <w:r w:rsidRPr="0058271A">
              <w:rPr>
                <w:rFonts w:ascii="Times New Roman" w:hAnsi="Times New Roman"/>
              </w:rPr>
              <w:t xml:space="preserve"> Краснодарского края «Центр занятости населения города Краснодара»;</w:t>
            </w:r>
          </w:p>
          <w:p w14:paraId="58A84CEC" w14:textId="4D0ECDE4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8271A">
              <w:rPr>
                <w:rFonts w:ascii="Times New Roman" w:hAnsi="Times New Roman"/>
              </w:rPr>
              <w:t xml:space="preserve">- обеспечивает соблюдение требований законодательства о рассмотрении обращений граждан, своевременное и полное рассмотрение письменных обращений, принятие по ним решений и направление ответов гражданам в установленный срок, контроль установленного порядка рассмотрения обращений в структурном подразделении; принимает участие в подготовке, проведению аттестации федеральных государственных гражданских служащих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>, проведению её итогов                                  и дальнейшей обработке материалов;</w:t>
            </w:r>
            <w:proofErr w:type="gramEnd"/>
            <w:r w:rsidRPr="0058271A">
              <w:rPr>
                <w:rFonts w:ascii="Times New Roman" w:hAnsi="Times New Roman"/>
              </w:rPr>
              <w:t xml:space="preserve"> ежегодно (или по мере производственной необходимости) осуществляет подготовку номенклатуры дел  административного отдела и формирование сдачи дел  архивное хранение по истечении календарного года; выполняет другую работу </w:t>
            </w:r>
            <w:proofErr w:type="gramStart"/>
            <w:r w:rsidRPr="0058271A">
              <w:rPr>
                <w:rFonts w:ascii="Times New Roman" w:hAnsi="Times New Roman"/>
              </w:rPr>
              <w:t>согласно плана</w:t>
            </w:r>
            <w:proofErr w:type="gramEnd"/>
            <w:r w:rsidRPr="0058271A">
              <w:rPr>
                <w:rFonts w:ascii="Times New Roman" w:hAnsi="Times New Roman"/>
              </w:rPr>
              <w:t xml:space="preserve"> работ отдела. </w:t>
            </w:r>
          </w:p>
          <w:p w14:paraId="7ABCE3D6" w14:textId="3B7D801B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Ведущий специалист-эксперт отдела также:  </w:t>
            </w:r>
          </w:p>
          <w:p w14:paraId="332D6A4B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1.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      </w:r>
          </w:p>
          <w:p w14:paraId="4F1F7574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lastRenderedPageBreak/>
              <w:t xml:space="preserve">2. соблюдает Кодекс этики и служебного поведения гражданских служащих Федеральной службы государственной статистики; </w:t>
            </w:r>
          </w:p>
          <w:p w14:paraId="155D025C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3. отвечает за формирование у специалистов Отдела высоких моральных качеств, укрепление служебной (трудовой) дисциплины, предупреждение противоправных явлений с их стороны, выявление и пресечение коррупционных проявлений, организует их правовое просвещение; </w:t>
            </w:r>
          </w:p>
          <w:p w14:paraId="51F8D8BE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4.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</w:t>
            </w:r>
            <w:proofErr w:type="spellStart"/>
            <w:r w:rsidRPr="0058271A">
              <w:rPr>
                <w:rFonts w:ascii="Times New Roman" w:hAnsi="Times New Roman"/>
              </w:rPr>
              <w:t>информационностатистических</w:t>
            </w:r>
            <w:proofErr w:type="spellEnd"/>
            <w:r w:rsidRPr="0058271A">
              <w:rPr>
                <w:rFonts w:ascii="Times New Roman" w:hAnsi="Times New Roman"/>
              </w:rPr>
              <w:t xml:space="preserve"> материалов;</w:t>
            </w:r>
          </w:p>
          <w:p w14:paraId="56F714CD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 5. исполняет решения и поручения руководителя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 xml:space="preserve">, его заместителей и начальника отдела, заместителя начальника отдела по вопросам, относящимся к сфере деятельности Отдела; </w:t>
            </w:r>
          </w:p>
          <w:p w14:paraId="1160F575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6. соблюдает Служебный распорядок Росстата,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 xml:space="preserve"> работниками Отдела, замещающими должности, не являющиеся должностями федеральной государственной гражданской службы; </w:t>
            </w:r>
          </w:p>
          <w:p w14:paraId="7AB14FA8" w14:textId="770C1183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7. 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 </w:t>
            </w:r>
          </w:p>
          <w:p w14:paraId="50CD284D" w14:textId="7A8A7A68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>8.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14:paraId="523C51E3" w14:textId="77777777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 9. осуществляет иные права и исполняет обязанности, предусмотренные законодательством Российской Федерации, приказами и поручениями руководителя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 xml:space="preserve">, поручениями заместителей руководителя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 xml:space="preserve">, начальника отдела и заместителя начальника отдела; </w:t>
            </w:r>
          </w:p>
          <w:p w14:paraId="7A8066E1" w14:textId="5BB282AE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10.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</w:t>
            </w:r>
            <w:proofErr w:type="spellStart"/>
            <w:r w:rsidRPr="0058271A">
              <w:rPr>
                <w:rFonts w:ascii="Times New Roman" w:hAnsi="Times New Roman"/>
              </w:rPr>
              <w:t>Краснодарстата</w:t>
            </w:r>
            <w:proofErr w:type="spellEnd"/>
            <w:r w:rsidRPr="0058271A">
              <w:rPr>
                <w:rFonts w:ascii="Times New Roman" w:hAnsi="Times New Roman"/>
              </w:rPr>
              <w:t xml:space="preserve"> Ведущий специалист-эксперт отдела осуществляет права, исполняет обязанности, а также соблюдает возложенные на него ограничения и запреты с учетом этих изменений; </w:t>
            </w:r>
          </w:p>
          <w:p w14:paraId="38D09DCF" w14:textId="07F9CECD" w:rsidR="00865263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 xml:space="preserve">11.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законами; </w:t>
            </w:r>
          </w:p>
          <w:p w14:paraId="4E9EA4FD" w14:textId="0C29C0A8" w:rsidR="00770B61" w:rsidRPr="00AC20BC" w:rsidRDefault="0058271A" w:rsidP="0058271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58271A">
              <w:rPr>
                <w:rFonts w:ascii="Times New Roman" w:hAnsi="Times New Roman"/>
              </w:rPr>
              <w:t>12. ведущий специалист-эксперт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</w:p>
        </w:tc>
      </w:tr>
    </w:tbl>
    <w:p w14:paraId="3A7FDA50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5E6F74B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8A9D5F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4682E0F0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вакантных</w:t>
      </w:r>
      <w:proofErr w:type="gramEnd"/>
    </w:p>
    <w:p w14:paraId="25FC407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14:paraId="5941D09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CEB6BD9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14:paraId="3CBF746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3281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60A2019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534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1D7FBC6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EC08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47CEDE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CE6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39213BB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ADE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0B43F9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F244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04500FE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21C3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37E9902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F78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2A0B1C" w14:paraId="0CA2A3D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6A9C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объективку</w:t>
            </w:r>
            <w:proofErr w:type="spellEnd"/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630630B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09C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0034224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2F7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474BADF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236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4F5A0EE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B79E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656E11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79FA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40263F4A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3B4CFEA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DADC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3DC57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AA4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5DEA0C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58A0" w14:textId="588F2B36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3032CBC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DEE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27C49FC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BAA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00F04A6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A290" w14:textId="3D1B3A0F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</w:t>
            </w:r>
          </w:p>
        </w:tc>
      </w:tr>
      <w:tr w:rsidR="005268CD" w:rsidRPr="002A0B1C" w14:paraId="7C1B673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0DF6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A7960C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8DF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C0094C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2A7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581C84D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B08A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2A0B1C" w14:paraId="7FDA997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C6F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претендентов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4ED473BA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683C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14:paraId="47688DAC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CD70D" w14:textId="77777777" w:rsidR="005A6B8C" w:rsidRDefault="005A6B8C" w:rsidP="00201071">
      <w:pPr>
        <w:spacing w:after="0" w:line="240" w:lineRule="auto"/>
      </w:pPr>
      <w:r>
        <w:separator/>
      </w:r>
    </w:p>
  </w:endnote>
  <w:endnote w:type="continuationSeparator" w:id="0">
    <w:p w14:paraId="78AF83CA" w14:textId="77777777" w:rsidR="005A6B8C" w:rsidRDefault="005A6B8C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5EF3D" w14:textId="77777777" w:rsidR="005A6B8C" w:rsidRDefault="005A6B8C" w:rsidP="00201071">
      <w:pPr>
        <w:spacing w:after="0" w:line="240" w:lineRule="auto"/>
      </w:pPr>
      <w:r>
        <w:separator/>
      </w:r>
    </w:p>
  </w:footnote>
  <w:footnote w:type="continuationSeparator" w:id="0">
    <w:p w14:paraId="2D6F8EF8" w14:textId="77777777" w:rsidR="005A6B8C" w:rsidRDefault="005A6B8C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17F7130"/>
    <w:multiLevelType w:val="hybridMultilevel"/>
    <w:tmpl w:val="C2D6268C"/>
    <w:lvl w:ilvl="0" w:tplc="4C68A836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1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1"/>
  </w:num>
  <w:num w:numId="8">
    <w:abstractNumId w:val="31"/>
  </w:num>
  <w:num w:numId="9">
    <w:abstractNumId w:val="45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4"/>
  </w:num>
  <w:num w:numId="16">
    <w:abstractNumId w:val="43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2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6"/>
  </w:num>
  <w:num w:numId="46">
    <w:abstractNumId w:val="1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22CB0"/>
    <w:rsid w:val="0004642F"/>
    <w:rsid w:val="0005530B"/>
    <w:rsid w:val="000661FE"/>
    <w:rsid w:val="00067FDB"/>
    <w:rsid w:val="000710DE"/>
    <w:rsid w:val="000D0E9A"/>
    <w:rsid w:val="000E2E6D"/>
    <w:rsid w:val="000E345B"/>
    <w:rsid w:val="000F3F5B"/>
    <w:rsid w:val="000F77A3"/>
    <w:rsid w:val="00112593"/>
    <w:rsid w:val="00134AD0"/>
    <w:rsid w:val="00154985"/>
    <w:rsid w:val="00165507"/>
    <w:rsid w:val="00172F84"/>
    <w:rsid w:val="00173790"/>
    <w:rsid w:val="00176D85"/>
    <w:rsid w:val="00182223"/>
    <w:rsid w:val="001B0B07"/>
    <w:rsid w:val="001C02C7"/>
    <w:rsid w:val="001D615D"/>
    <w:rsid w:val="001E54AB"/>
    <w:rsid w:val="001E7427"/>
    <w:rsid w:val="00201071"/>
    <w:rsid w:val="002650F8"/>
    <w:rsid w:val="00280BAC"/>
    <w:rsid w:val="0028152D"/>
    <w:rsid w:val="00284442"/>
    <w:rsid w:val="002A0B1C"/>
    <w:rsid w:val="002D042B"/>
    <w:rsid w:val="002F1D2A"/>
    <w:rsid w:val="00331F79"/>
    <w:rsid w:val="00333594"/>
    <w:rsid w:val="00342AAB"/>
    <w:rsid w:val="00344535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109A3"/>
    <w:rsid w:val="00412371"/>
    <w:rsid w:val="0043364C"/>
    <w:rsid w:val="004454FD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72337"/>
    <w:rsid w:val="005802CF"/>
    <w:rsid w:val="0058271A"/>
    <w:rsid w:val="00594B5F"/>
    <w:rsid w:val="005A6666"/>
    <w:rsid w:val="005A6B8C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1CF7"/>
    <w:rsid w:val="006C7F4A"/>
    <w:rsid w:val="006E76B0"/>
    <w:rsid w:val="006F7D7F"/>
    <w:rsid w:val="007031C1"/>
    <w:rsid w:val="00706249"/>
    <w:rsid w:val="0073667E"/>
    <w:rsid w:val="00761185"/>
    <w:rsid w:val="00770B61"/>
    <w:rsid w:val="0078568F"/>
    <w:rsid w:val="007A7FC9"/>
    <w:rsid w:val="007B29B6"/>
    <w:rsid w:val="007E6429"/>
    <w:rsid w:val="00803A25"/>
    <w:rsid w:val="008117B5"/>
    <w:rsid w:val="00832EBC"/>
    <w:rsid w:val="00836985"/>
    <w:rsid w:val="0085080C"/>
    <w:rsid w:val="00865263"/>
    <w:rsid w:val="0087616D"/>
    <w:rsid w:val="00883A16"/>
    <w:rsid w:val="008856ED"/>
    <w:rsid w:val="00890CF2"/>
    <w:rsid w:val="008A3321"/>
    <w:rsid w:val="008A3428"/>
    <w:rsid w:val="008A5DB4"/>
    <w:rsid w:val="008C3DA8"/>
    <w:rsid w:val="008D2897"/>
    <w:rsid w:val="008E3970"/>
    <w:rsid w:val="008F7B26"/>
    <w:rsid w:val="00934C40"/>
    <w:rsid w:val="00937FD6"/>
    <w:rsid w:val="009512DA"/>
    <w:rsid w:val="00952F29"/>
    <w:rsid w:val="00970E64"/>
    <w:rsid w:val="009776CB"/>
    <w:rsid w:val="00984417"/>
    <w:rsid w:val="0099086E"/>
    <w:rsid w:val="00993A78"/>
    <w:rsid w:val="009A0049"/>
    <w:rsid w:val="009A5D55"/>
    <w:rsid w:val="009B0642"/>
    <w:rsid w:val="009C7E8A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C20BC"/>
    <w:rsid w:val="00AE4D1A"/>
    <w:rsid w:val="00AE7AA5"/>
    <w:rsid w:val="00B81884"/>
    <w:rsid w:val="00B85B5D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CF255C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DE1FF0"/>
    <w:rsid w:val="00E03AF2"/>
    <w:rsid w:val="00E03FB6"/>
    <w:rsid w:val="00E0622C"/>
    <w:rsid w:val="00E25DC7"/>
    <w:rsid w:val="00E361A5"/>
    <w:rsid w:val="00E36800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402A9"/>
    <w:rsid w:val="00F70A85"/>
    <w:rsid w:val="00F71236"/>
    <w:rsid w:val="00F93991"/>
    <w:rsid w:val="00F96E18"/>
    <w:rsid w:val="00FA001E"/>
    <w:rsid w:val="00FC1130"/>
    <w:rsid w:val="00FC1B82"/>
    <w:rsid w:val="00FD5259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F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26D6-5111-4E94-8069-C2215720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29392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2022-09-28T08:26:00Z</cp:lastPrinted>
  <dcterms:created xsi:type="dcterms:W3CDTF">2022-11-22T12:44:00Z</dcterms:created>
  <dcterms:modified xsi:type="dcterms:W3CDTF">2022-11-22T12:44:00Z</dcterms:modified>
</cp:coreProperties>
</file>